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C47C1" w14:textId="77777777" w:rsidR="00F314C4" w:rsidRPr="00F9004D" w:rsidRDefault="00F314C4" w:rsidP="00F314C4">
      <w:pPr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F9004D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Komputer przenośny </w:t>
      </w:r>
    </w:p>
    <w:p w14:paraId="6869A9D4" w14:textId="77777777" w:rsidR="00F314C4" w:rsidRPr="00F9004D" w:rsidRDefault="00F314C4" w:rsidP="00F314C4">
      <w:pPr>
        <w:rPr>
          <w:rFonts w:asciiTheme="majorHAnsi" w:hAnsiTheme="majorHAnsi" w:cstheme="majorHAnsi"/>
          <w:sz w:val="22"/>
          <w:szCs w:val="22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681"/>
        <w:gridCol w:w="7528"/>
      </w:tblGrid>
      <w:tr w:rsidR="00F314C4" w:rsidRPr="00F9004D" w14:paraId="77D61D92" w14:textId="77777777" w:rsidTr="00EE6E86">
        <w:trPr>
          <w:trHeight w:val="350"/>
        </w:trPr>
        <w:tc>
          <w:tcPr>
            <w:tcW w:w="1681" w:type="dxa"/>
            <w:shd w:val="pct20" w:color="auto" w:fill="auto"/>
          </w:tcPr>
          <w:p w14:paraId="38A50774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7528" w:type="dxa"/>
            <w:shd w:val="pct20" w:color="auto" w:fill="auto"/>
          </w:tcPr>
          <w:p w14:paraId="2E1BB406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Wymagane minimalne parametry techniczne laptopa</w:t>
            </w:r>
          </w:p>
        </w:tc>
      </w:tr>
      <w:tr w:rsidR="00F314C4" w:rsidRPr="00F9004D" w14:paraId="49FBE656" w14:textId="77777777" w:rsidTr="00EE6E86">
        <w:tc>
          <w:tcPr>
            <w:tcW w:w="1681" w:type="dxa"/>
            <w:shd w:val="clear" w:color="auto" w:fill="auto"/>
          </w:tcPr>
          <w:p w14:paraId="6C39709C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Zastosowanie</w:t>
            </w:r>
          </w:p>
        </w:tc>
        <w:tc>
          <w:tcPr>
            <w:tcW w:w="7528" w:type="dxa"/>
          </w:tcPr>
          <w:p w14:paraId="72A1F333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Komputer przenośny typu notebook będzie wykorzystywany dla potrzeb aplikacji biurowych, aplikacji edukacyjnych, dostępu do Internetu oraz poczty elektronicznej.</w:t>
            </w:r>
          </w:p>
        </w:tc>
      </w:tr>
      <w:tr w:rsidR="00F314C4" w:rsidRPr="00F9004D" w14:paraId="2833C98C" w14:textId="77777777" w:rsidTr="00EE6E86">
        <w:tc>
          <w:tcPr>
            <w:tcW w:w="1681" w:type="dxa"/>
            <w:shd w:val="clear" w:color="auto" w:fill="auto"/>
          </w:tcPr>
          <w:p w14:paraId="5FC03FFD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Matryca</w:t>
            </w:r>
          </w:p>
        </w:tc>
        <w:tc>
          <w:tcPr>
            <w:tcW w:w="7528" w:type="dxa"/>
          </w:tcPr>
          <w:p w14:paraId="6D63C970" w14:textId="77777777" w:rsidR="00F314C4" w:rsidRPr="00F9004D" w:rsidRDefault="00F314C4" w:rsidP="00EE6E86">
            <w:pPr>
              <w:jc w:val="both"/>
              <w:outlineLvl w:val="0"/>
              <w:rPr>
                <w:rFonts w:asciiTheme="majorHAnsi" w:hAnsiTheme="majorHAnsi" w:cstheme="majorHAnsi"/>
                <w:color w:val="00B050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Matryca w technologii IPS o przekątnej 15,6" i rozdzielczości FHD (1920 x 1080) z podświetleniem LED, matryca matowa, jasność min. 250 </w:t>
            </w:r>
            <w:proofErr w:type="spellStart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nits</w:t>
            </w:r>
            <w:proofErr w:type="spellEnd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, kontrast min. 700:1.</w:t>
            </w:r>
          </w:p>
        </w:tc>
      </w:tr>
      <w:tr w:rsidR="00F314C4" w:rsidRPr="00F9004D" w14:paraId="29F29F2F" w14:textId="77777777" w:rsidTr="00EE6E86">
        <w:tc>
          <w:tcPr>
            <w:tcW w:w="1681" w:type="dxa"/>
            <w:shd w:val="clear" w:color="auto" w:fill="auto"/>
          </w:tcPr>
          <w:p w14:paraId="65C7BD13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Procesor</w:t>
            </w:r>
          </w:p>
        </w:tc>
        <w:tc>
          <w:tcPr>
            <w:tcW w:w="7528" w:type="dxa"/>
          </w:tcPr>
          <w:p w14:paraId="3AAD6B1A" w14:textId="77777777" w:rsidR="00F314C4" w:rsidRPr="00F9004D" w:rsidRDefault="00F314C4" w:rsidP="00EE6E86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Procesor osiągający wynik min. 15000 punktów w teście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PassMark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CPU Mark według wyników ze strony: </w:t>
            </w:r>
            <w:hyperlink r:id="rId8" w:history="1">
              <w:r w:rsidRPr="00F9004D">
                <w:rPr>
                  <w:rStyle w:val="Hipercze"/>
                  <w:rFonts w:asciiTheme="majorHAnsi" w:hAnsiTheme="majorHAnsi" w:cstheme="majorHAnsi"/>
                  <w:bCs/>
                  <w:sz w:val="22"/>
                  <w:szCs w:val="22"/>
                </w:rPr>
                <w:t>https://www.cpubenchmark.net/mid_range_cpus.html</w:t>
              </w:r>
            </w:hyperlink>
          </w:p>
        </w:tc>
      </w:tr>
      <w:tr w:rsidR="00F314C4" w:rsidRPr="00F9004D" w14:paraId="3D521D76" w14:textId="77777777" w:rsidTr="00EE6E86">
        <w:tc>
          <w:tcPr>
            <w:tcW w:w="1681" w:type="dxa"/>
            <w:shd w:val="clear" w:color="auto" w:fill="auto"/>
          </w:tcPr>
          <w:p w14:paraId="5BD1A6A3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Pamięć RAM</w:t>
            </w:r>
          </w:p>
        </w:tc>
        <w:tc>
          <w:tcPr>
            <w:tcW w:w="7528" w:type="dxa"/>
          </w:tcPr>
          <w:p w14:paraId="14F2AFE2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16GB DDR4 3200MHz, możliwość rozbudowy do min. 64GB, dwa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sloty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pamięci.  Możliwość rozbudowy pamięci przez użytkownika, bez konieczności kontaktu z serwisem producenta.</w:t>
            </w:r>
          </w:p>
        </w:tc>
      </w:tr>
      <w:tr w:rsidR="00F314C4" w:rsidRPr="00F9004D" w14:paraId="1205CF3B" w14:textId="77777777" w:rsidTr="00EE6E86">
        <w:tc>
          <w:tcPr>
            <w:tcW w:w="1681" w:type="dxa"/>
            <w:shd w:val="clear" w:color="auto" w:fill="auto"/>
          </w:tcPr>
          <w:p w14:paraId="1240FFBA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Pamięć masowa</w:t>
            </w:r>
          </w:p>
        </w:tc>
        <w:tc>
          <w:tcPr>
            <w:tcW w:w="7528" w:type="dxa"/>
          </w:tcPr>
          <w:p w14:paraId="629F3D76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Dysk SSD M.2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PCIe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NVMe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min. 512 GB</w:t>
            </w:r>
          </w:p>
        </w:tc>
      </w:tr>
      <w:tr w:rsidR="00F314C4" w:rsidRPr="00F9004D" w14:paraId="2AC18C07" w14:textId="77777777" w:rsidTr="00EE6E86">
        <w:tc>
          <w:tcPr>
            <w:tcW w:w="1681" w:type="dxa"/>
            <w:shd w:val="clear" w:color="auto" w:fill="auto"/>
          </w:tcPr>
          <w:p w14:paraId="03EBCB7A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Karta graficzna</w:t>
            </w:r>
          </w:p>
        </w:tc>
        <w:tc>
          <w:tcPr>
            <w:tcW w:w="7528" w:type="dxa"/>
          </w:tcPr>
          <w:p w14:paraId="07E9ADEA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Zintegrowana z procesorem </w:t>
            </w:r>
          </w:p>
        </w:tc>
      </w:tr>
      <w:tr w:rsidR="00F314C4" w:rsidRPr="00F9004D" w14:paraId="73DEBFF4" w14:textId="77777777" w:rsidTr="00EE6E86">
        <w:trPr>
          <w:trHeight w:val="416"/>
        </w:trPr>
        <w:tc>
          <w:tcPr>
            <w:tcW w:w="1681" w:type="dxa"/>
            <w:shd w:val="clear" w:color="auto" w:fill="auto"/>
          </w:tcPr>
          <w:p w14:paraId="5E25ADDA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Multimedia</w:t>
            </w:r>
          </w:p>
        </w:tc>
        <w:tc>
          <w:tcPr>
            <w:tcW w:w="7528" w:type="dxa"/>
          </w:tcPr>
          <w:p w14:paraId="668B5EB5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Dwukanałowa karta dźwiękowa zintegrowana z płytą główną, zgodna z High Definition, wbudowane głośniki stereo o średniej mocy min. 2x 2W, cyfrowy mikrofon z funkcją redukcji szumów i poprawy mowy wbudowany w obudowę matrycy.</w:t>
            </w:r>
          </w:p>
          <w:p w14:paraId="0BBD2FC8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Kamera internetowa z wbudowaną mechaniczną przesłoną, trwale zainstalowana w obudowie matrycy.</w:t>
            </w:r>
          </w:p>
        </w:tc>
      </w:tr>
      <w:tr w:rsidR="00F314C4" w:rsidRPr="00F9004D" w14:paraId="3484B268" w14:textId="77777777" w:rsidTr="00EE6E86">
        <w:tc>
          <w:tcPr>
            <w:tcW w:w="1681" w:type="dxa"/>
            <w:shd w:val="clear" w:color="auto" w:fill="auto"/>
          </w:tcPr>
          <w:p w14:paraId="4376EB9A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Bateria i zasilanie</w:t>
            </w:r>
          </w:p>
        </w:tc>
        <w:tc>
          <w:tcPr>
            <w:tcW w:w="7528" w:type="dxa"/>
          </w:tcPr>
          <w:p w14:paraId="44394571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Bateria min. 3-ogniwowa o pojemności min. 45 </w:t>
            </w:r>
            <w:proofErr w:type="spellStart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Wh</w:t>
            </w:r>
            <w:proofErr w:type="spellEnd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429D95D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Zasilacz o mocy 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min. 65W. </w:t>
            </w:r>
          </w:p>
        </w:tc>
      </w:tr>
      <w:tr w:rsidR="00F314C4" w:rsidRPr="00F9004D" w14:paraId="1D440A42" w14:textId="77777777" w:rsidTr="00EE6E86">
        <w:tc>
          <w:tcPr>
            <w:tcW w:w="1681" w:type="dxa"/>
            <w:shd w:val="clear" w:color="auto" w:fill="auto"/>
          </w:tcPr>
          <w:p w14:paraId="61BD0FA7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Waga</w:t>
            </w:r>
          </w:p>
        </w:tc>
        <w:tc>
          <w:tcPr>
            <w:tcW w:w="7528" w:type="dxa"/>
          </w:tcPr>
          <w:p w14:paraId="2D0E6BA3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color w:val="FF0000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Waga komputera z oferowaną baterią nie większa niż 2 kg.</w:t>
            </w:r>
          </w:p>
        </w:tc>
      </w:tr>
      <w:tr w:rsidR="00F314C4" w:rsidRPr="00F9004D" w14:paraId="2EE5A932" w14:textId="77777777" w:rsidTr="00EE6E86">
        <w:tc>
          <w:tcPr>
            <w:tcW w:w="1681" w:type="dxa"/>
            <w:shd w:val="clear" w:color="auto" w:fill="auto"/>
          </w:tcPr>
          <w:p w14:paraId="564A48BD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Obudowa</w:t>
            </w:r>
          </w:p>
        </w:tc>
        <w:tc>
          <w:tcPr>
            <w:tcW w:w="7528" w:type="dxa"/>
          </w:tcPr>
          <w:p w14:paraId="7AD54E6D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Wykonana z materiałów o podwyższonej odporności na uszkodzenia mechaniczne oraz przystosowana do pracy w trudnych warunkach termicznych, charakteryzujący się wzmocnioną konstrukcją, tzw. „business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rugged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”, według normy Mil-Std-810G tj. taki, który zaliczył (co najmniej) następujące testy z wynikiem pozytywnym:</w:t>
            </w:r>
          </w:p>
          <w:p w14:paraId="642EAEA5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·         Wibracje- Metoda 514.X </w:t>
            </w:r>
          </w:p>
          <w:p w14:paraId="6DEEE44D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·         Uderzenia- Metoda 516.X</w:t>
            </w:r>
          </w:p>
          <w:p w14:paraId="00B9618D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·         Wysoka Temperatura- Metoda 501.X </w:t>
            </w:r>
          </w:p>
          <w:p w14:paraId="62E01033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·         Niska Temperatura- Metoda 502.X</w:t>
            </w:r>
          </w:p>
          <w:p w14:paraId="48DA5449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·         Zmienna Temperatura- Metoda 503.X</w:t>
            </w:r>
          </w:p>
          <w:p w14:paraId="7AE05F10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·         Wilgotność- Metoda 507.X</w:t>
            </w:r>
          </w:p>
          <w:p w14:paraId="0CABF442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·         Wysokość- Metoda 500.X</w:t>
            </w:r>
          </w:p>
          <w:p w14:paraId="3BC63CCD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·         Piasek i pył- Metoda 510.X </w:t>
            </w:r>
          </w:p>
          <w:p w14:paraId="3F17607C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7EDD50FB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W celu potwierdzenia, że oferowana dostawa odpowiada wymaganiom określonym przez Zamawiającego, do oferty należy dołączyć:</w:t>
            </w:r>
          </w:p>
          <w:p w14:paraId="0B78A885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Oświadczenie producenta lub inny dokument pochodzący od producenta, potwierdzający, że komputer spełnia standardy MIL-STD-810G, i pozytywnie przeszedł testy w zakresie minimum wyżej wymienionych. Zamawiający dopuszcza równoważny certyfikat akredytowanej jednostki wykonującej badania wytrzymałości i odporności urządzeń potwierdzający odporność w wskazanym wyżej przez Zamawiającego zakresie. Wymagane jest dostarczenie równoważnego certyfikatu wraz z opisem i dokumentacją fotograficzną z przeprowadzonych testów oraz informacją o pozytywnym ich zakończeniu wydaną przez akredytowaną jednostkę wydającą certyfikat.</w:t>
            </w:r>
          </w:p>
        </w:tc>
      </w:tr>
      <w:tr w:rsidR="00F314C4" w:rsidRPr="00F9004D" w14:paraId="1A808792" w14:textId="77777777" w:rsidTr="00EE6E86">
        <w:tc>
          <w:tcPr>
            <w:tcW w:w="1681" w:type="dxa"/>
            <w:shd w:val="clear" w:color="auto" w:fill="auto"/>
          </w:tcPr>
          <w:p w14:paraId="3B98A374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lastRenderedPageBreak/>
              <w:t>BIOS</w:t>
            </w:r>
          </w:p>
        </w:tc>
        <w:tc>
          <w:tcPr>
            <w:tcW w:w="7528" w:type="dxa"/>
          </w:tcPr>
          <w:p w14:paraId="69C36D22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BIOS zgodny ze specyfikacją UEFI, wyprodukowany przez producenta komputera, zawierający logo producenta komputera lub nazwę producenta komputera.</w:t>
            </w:r>
          </w:p>
          <w:p w14:paraId="093EA2F2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42FDDF7A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Pełna obsługa BIOS za pomocą klawiatury i myszy oraz samej myszy. Możliwość, bez uruchamiania systemu operacyjnego z dysku twardego komputera, bez dodatkowego oprogramowania z zewnętrznych i podłączonych do niego urządzeń zewnętrznych odczytania z BIOS informacji o:</w:t>
            </w:r>
          </w:p>
          <w:p w14:paraId="207322B0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7C068BD5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 wersji BIOS</w:t>
            </w:r>
          </w:p>
          <w:p w14:paraId="222F58AD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 daty produkcji BIOS</w:t>
            </w:r>
          </w:p>
          <w:p w14:paraId="0D69A6B7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 nr seryjnym komputera</w:t>
            </w:r>
          </w:p>
          <w:p w14:paraId="292D60FF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 Ilości zainstalowanej pamięci RAM oraz możliwość odczytania informacji o obłożeniu, szybkości i rodzaju z poziomu BIOS lub w zaimplementowanym systemie diagnostycznym</w:t>
            </w:r>
          </w:p>
          <w:p w14:paraId="4CEED80C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 typie procesora i jego prędkości</w:t>
            </w:r>
          </w:p>
          <w:p w14:paraId="01E33428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 MAC adresu zintegrowanej karty sieciowej</w:t>
            </w:r>
          </w:p>
          <w:p w14:paraId="04549650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nr inwentarzowym (tzw.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Asset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Tag) - wymagane wolne pole do edycji przez administratora</w:t>
            </w:r>
          </w:p>
          <w:p w14:paraId="3C171BE2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 nr seryjnym płyty głównej komputera</w:t>
            </w:r>
          </w:p>
          <w:p w14:paraId="5D958D00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 informacja o licencji systemu operacyjnego, która została zaimplementowana w BIOS</w:t>
            </w:r>
          </w:p>
          <w:p w14:paraId="4D4F16BC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    </w:t>
            </w:r>
          </w:p>
          <w:p w14:paraId="6E280D0D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Administrator z poziomu BIOS musi mieć możliwość wykonania poniższych czynności: </w:t>
            </w:r>
          </w:p>
          <w:p w14:paraId="11899500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6625DC6B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Wyłączania/Włączania technologii antykradzieżowej</w:t>
            </w:r>
          </w:p>
          <w:p w14:paraId="5585D048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zaawansowanego zarządzania dostępem do BIOS poprzez mechanizm wielopozowych haseł umożliwiających co najmniej:</w:t>
            </w:r>
          </w:p>
          <w:p w14:paraId="09944B14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o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ustawienia hasła Administratora</w:t>
            </w:r>
          </w:p>
          <w:p w14:paraId="1910E77B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o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ustawienia hasła na zainstalowanym dysku SSD/HDD</w:t>
            </w:r>
          </w:p>
          <w:p w14:paraId="388D096A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o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Możliwość ustawienia hasła na starcie komputera tzw. POWER-On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Password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  <w:p w14:paraId="15AEF609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o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przeglądania ustawień BIOS z poziomu użytkownika bez możliwości zmiany ustawień BIOS</w:t>
            </w:r>
          </w:p>
          <w:p w14:paraId="74217887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o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zabezpieczenia hasłem aktualizacji BIOS</w:t>
            </w:r>
          </w:p>
          <w:p w14:paraId="4319DB43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Możliwość ustawienia minimalnych wymagań dotyczących długości hasła POWER-On oraz hasła dysku twardego. </w:t>
            </w:r>
          </w:p>
          <w:p w14:paraId="51FD7BDF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Obsługa haseł o długości min. 128 znaków zawierających: duże litery, małe litery, znaki specjalne, cyfry</w:t>
            </w:r>
          </w:p>
          <w:p w14:paraId="0485EE63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wymuszenia silnych haseł ustawianych w BIOS tzn. składających się z co najmniej ośmiu znaków z min. jedną małą literą, jedną dużą literą oraz jedną cyfrą.</w:t>
            </w:r>
          </w:p>
          <w:p w14:paraId="2116ED4F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włączania/wyłączania wirtualizacji z poziomu BIOS</w:t>
            </w:r>
          </w:p>
          <w:p w14:paraId="079AC306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Możliwość ustawienia kolejności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bootowania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oraz wyłączenia poszczególnych urządzeń z listy startowej.</w:t>
            </w:r>
          </w:p>
          <w:p w14:paraId="5738700E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Autoryzacja dostępu do aktualizacji BIOS dla użytkownika, Administratora lub z poziomu Windows</w:t>
            </w:r>
          </w:p>
          <w:p w14:paraId="2B2FAFBD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-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Wyłączania/Włączania zabezpieczenia przed wgraniem starszej wersji BIOS niż aktualna</w:t>
            </w:r>
          </w:p>
          <w:p w14:paraId="5F75B9A7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\Możliwość Wyłączania/Włączania: zintegrowanej karty sieciowej, karty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WiFi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czytnika linii papilarnych, mikrofonu, zintegrowanej kamery, modemu LTE, portów USB,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bluetooth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, czytnik kart pamięci, czytnik karta inteligentnych, zintegrowanej karty dźwiękowej, mikrofon, dotyku w przypadku matrycy dotykowej.</w:t>
            </w:r>
          </w:p>
          <w:p w14:paraId="42602D42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włączenia/wyłączenia funkcji klonowania adresu MAC dla stacji dokującej</w:t>
            </w:r>
          </w:p>
          <w:p w14:paraId="7EB524E6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niezależnego włączenia/wyłączenia płytki dotykowej oraz manipulatora (joysticka)</w:t>
            </w:r>
          </w:p>
          <w:p w14:paraId="0655894A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Funkcja bezpiecznego usuwania danych z dysku dostępna z poziomu BIOS</w:t>
            </w:r>
          </w:p>
        </w:tc>
      </w:tr>
      <w:tr w:rsidR="00F314C4" w:rsidRPr="00F9004D" w14:paraId="32A50EFC" w14:textId="77777777" w:rsidTr="00EE6E86">
        <w:tc>
          <w:tcPr>
            <w:tcW w:w="1681" w:type="dxa"/>
            <w:shd w:val="clear" w:color="auto" w:fill="auto"/>
          </w:tcPr>
          <w:p w14:paraId="4FDD9B8B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lastRenderedPageBreak/>
              <w:t>Bezpieczeństwo</w:t>
            </w:r>
          </w:p>
        </w:tc>
        <w:tc>
          <w:tcPr>
            <w:tcW w:w="7528" w:type="dxa"/>
          </w:tcPr>
          <w:p w14:paraId="03A5037C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Zintegrowany z płytą główną układ sprzętowy służący do tworzenia i zarządzania wygenerowanymi przez komputer kluczami szyfrowania. Zabezpieczenie to musi posiadać możliwość szyfrowania poufnych dokumentów przechowywanych na dysku twardym przy użyciu klucza sprzętowego zapisanego w TPM2.0 z certyfikacją TCG.  Próba usunięcia dedykowanego układu doprowadzi do uszkodzenia całej płyty głównej.</w:t>
            </w:r>
          </w:p>
          <w:p w14:paraId="6C83534F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051FDE70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Dostęp do podzespołów komputera musi być sygnalizowany przez czujnik otwarcia obudowy. Sygnalizacja konfigurowana z poziomu BIOS. Zamawiający uzna za równoważne dostarczenie linki zabezpieczającej typu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Kensington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zamykanej w taki sposób, że nie będzie możliwe otwarcie obudowy notebooka, gdy linka zabezpieczająca zostanie umieszczona i zamknięta z wykorzystaniem kluczyka w dedykowanym slocie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Kensington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Komputery wyposażone w złącze Noble Lock muszą zostać zaoferowane z adapterem ze złącza Noble Lock komputera do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Kensington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wraz linką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Kensington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</w:tc>
      </w:tr>
      <w:tr w:rsidR="00F314C4" w:rsidRPr="00F9004D" w14:paraId="73DB97BA" w14:textId="77777777" w:rsidTr="00EE6E86">
        <w:tc>
          <w:tcPr>
            <w:tcW w:w="1681" w:type="dxa"/>
            <w:shd w:val="clear" w:color="auto" w:fill="auto"/>
          </w:tcPr>
          <w:p w14:paraId="013C980B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Zdalne zarządzanie</w:t>
            </w:r>
          </w:p>
        </w:tc>
        <w:tc>
          <w:tcPr>
            <w:tcW w:w="7528" w:type="dxa"/>
          </w:tcPr>
          <w:p w14:paraId="0CA17DD8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Wbudowana w płytę główną technologia zarządzania i monitorowania komputerem na poziomie sprzętowym działająca niezależnie od stanu czy obecności systemu operacyjnego oraz stanu włączenia komputera podczas pracy na zasilaczu sieciowym AC, obsługująca zdalną komunikację sieciową w oparciu o protokół IPv4 oraz IPv6, a także zapewniająca:</w:t>
            </w:r>
          </w:p>
          <w:p w14:paraId="2A658284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a)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monitorowanie konfiguracji komputera na poziomie komponentowym (Rodzaj, model, pojemność): CPU, Pamięć, HDD wersja BIOS płyty głównej; </w:t>
            </w:r>
          </w:p>
          <w:p w14:paraId="134CC607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b)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zdalną konfigurację ustawień BIOS (BIOS setup),</w:t>
            </w:r>
          </w:p>
          <w:p w14:paraId="0355C1FE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c)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zdalnego zarządzania stanem zasilania komputera: włączenie/wyłączenie/reset/poprawne zamknięcie systemu operacyjnego,</w:t>
            </w:r>
          </w:p>
          <w:p w14:paraId="0BFFD507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d)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zdalne przejęcie konsoli tekstowej systemu, przekierowanie procesu ładowania systemu operacyjnego z wirtualnego nośnika lub pliku obrazu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bootującego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takiego nośnika z serwera zarządzającego</w:t>
            </w:r>
          </w:p>
          <w:p w14:paraId="709C1BA9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e)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zdalne przejęcie konsoli graficznej systemu tzw. KVM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Redirection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(Keyboard, Video, Mouse) bez udziału systemu operacyjnego ani dodatkowych programów, również w przypadku braku lub uszkodzenia systemu operacyjnego i możliwość podglądu ustawień BIOS.</w:t>
            </w:r>
          </w:p>
          <w:p w14:paraId="2FDE07BD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f)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technologia zarządzania i monitorowania komputerem na poziomie sprzętowym powinna być zgodna z otwartymi standardami DMTF WS-MAN 1.0.0 (http://www.dmtf.org/standards/wsman) lub DASH 1.0.0 (http://www.dmtf.org/standards/mgmt/dash/)</w:t>
            </w:r>
          </w:p>
        </w:tc>
      </w:tr>
      <w:tr w:rsidR="00F314C4" w:rsidRPr="00F9004D" w14:paraId="15DA11F5" w14:textId="77777777" w:rsidTr="00EE6E86">
        <w:tc>
          <w:tcPr>
            <w:tcW w:w="1681" w:type="dxa"/>
            <w:shd w:val="clear" w:color="auto" w:fill="auto"/>
          </w:tcPr>
          <w:p w14:paraId="4A58B201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lastRenderedPageBreak/>
              <w:t>Certyfikaty</w:t>
            </w:r>
          </w:p>
        </w:tc>
        <w:tc>
          <w:tcPr>
            <w:tcW w:w="7528" w:type="dxa"/>
          </w:tcPr>
          <w:p w14:paraId="47B1BEE2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Certyfikat ISO 9001 dla producenta sprzętu (załączyć do oferty)</w:t>
            </w:r>
          </w:p>
          <w:p w14:paraId="08F4BADF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Certyfikat ISO 14001 dla producenta sprzętu (załączyć do oferty)</w:t>
            </w:r>
          </w:p>
          <w:p w14:paraId="2FB1BD87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Deklaracja zgodności CE (</w:t>
            </w: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załączyć do oferty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</w:p>
          <w:p w14:paraId="50C0A694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Potwierdzenie spełnienia kryteriów środowiskowych, w tym zgodności z dyrektywą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RoHS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Unii Europejskiej o eliminacji substancji niebezpiecznych w postaci oświadczenia producenta jednostki.</w:t>
            </w:r>
          </w:p>
          <w:p w14:paraId="09C360FF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sz w:val="22"/>
                <w:szCs w:val="22"/>
              </w:rPr>
              <w:t>Firma serwisująca musi posiadać ISO 9001:2015 na świadczenie usług serwisowych oraz posiadać autoryzacje producenta komputera – dokumenty potwierdzające załączyć do oferty.</w:t>
            </w:r>
          </w:p>
          <w:p w14:paraId="276CD953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sz w:val="22"/>
                <w:szCs w:val="22"/>
              </w:rPr>
              <w:t>Oświadczenie producenta, że w przypadku nie wywiązywania się z obowiązków gwarancyjnych oferenta lub firmy serwisującej, przejmie na siebie wszelkie zobowiązania związane z serwisem (załączyć do oferty).</w:t>
            </w:r>
          </w:p>
        </w:tc>
      </w:tr>
      <w:tr w:rsidR="00F314C4" w:rsidRPr="00F9004D" w14:paraId="05937476" w14:textId="77777777" w:rsidTr="00EE6E86">
        <w:tc>
          <w:tcPr>
            <w:tcW w:w="1681" w:type="dxa"/>
            <w:shd w:val="clear" w:color="auto" w:fill="auto"/>
          </w:tcPr>
          <w:p w14:paraId="69EF9E72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System operacyjny</w:t>
            </w:r>
          </w:p>
        </w:tc>
        <w:tc>
          <w:tcPr>
            <w:tcW w:w="7528" w:type="dxa"/>
          </w:tcPr>
          <w:p w14:paraId="289E6F54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System operacyjny:</w:t>
            </w:r>
          </w:p>
          <w:p w14:paraId="6121C347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674D6BDC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Microsoft Windows 10 Professional lub równoważny, spełniający poniższe funkcjonalności:</w:t>
            </w:r>
          </w:p>
          <w:p w14:paraId="202FB46F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6129D42C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Musi spełniać następujące wymagania poprzez wbudowane mechanizmy, bez użycia dodatkowych aplikacji:</w:t>
            </w:r>
          </w:p>
          <w:p w14:paraId="1CBD91A0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Dostępne dwa rodzaje graficznego interfejsu użytkownika:</w:t>
            </w:r>
          </w:p>
          <w:p w14:paraId="2F886158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a)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Klasyczny, umożliwiający obsługę przy pomocy klawiatury i myszy,</w:t>
            </w:r>
          </w:p>
          <w:p w14:paraId="1E0B4BFB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b)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Dotykowy umożliwiający sterowanie dotykiem na urządzeniach typu tablet lub monitorach dotykowych</w:t>
            </w:r>
          </w:p>
          <w:p w14:paraId="326E9BF3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Funkcje związane z obsługą komputerów typu tablet, z wbudowanym modułem „uczenia się” pisma użytkownika – obsługa języka polskiego</w:t>
            </w:r>
          </w:p>
          <w:p w14:paraId="586182DB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Interfejs użytkownika dostępny w wielu językach do wyboru – w tym polskim i angielskim</w:t>
            </w:r>
          </w:p>
          <w:p w14:paraId="2FE5F3A3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4.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tworzenia pulpitów wirtualnych, przenoszenia aplikacji pomiędzy pulpitami i przełączanie się pomiędzy pulpitami za pomocą skrótów klawiaturowych lub GUI.</w:t>
            </w:r>
          </w:p>
          <w:p w14:paraId="23C07328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5.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Wbudowane w system operacyjny minimum dwie przeglądarki Internetowe</w:t>
            </w:r>
          </w:p>
          <w:p w14:paraId="290E8F30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6.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2E97ED1F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7.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Zlokalizowane w języku polskim, co najmniej następujące elementy: menu, pomoc, komunikaty systemowe, menedżer plików.</w:t>
            </w:r>
          </w:p>
          <w:p w14:paraId="15707915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8.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Graficzne środowisko instalacji i konfiguracji dostępne w języku polskim</w:t>
            </w:r>
          </w:p>
          <w:p w14:paraId="16E1E4A9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9.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Wbudowany system pomocy w języku polskim.</w:t>
            </w:r>
          </w:p>
          <w:p w14:paraId="730DEC8D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10.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przystosowania stanowiska dla osób niepełnosprawnych (np. słabo widzących).</w:t>
            </w:r>
          </w:p>
          <w:p w14:paraId="7838D029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11.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dokonywania aktualizacji i poprawek systemu poprzez mechanizm zarządzany przez administratora systemu Zamawiającego.</w:t>
            </w:r>
          </w:p>
          <w:p w14:paraId="3696A750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12.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Możliwość dostarczania poprawek do systemu operacyjnego w modelu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peer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-to-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peer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  <w:p w14:paraId="4C9D69A0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13.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sterowania czasem dostarczania nowych wersji systemu operacyjnego, możliwość centralnego opóźniania dostarczania nowej wersji o minimum 4 miesiące.</w:t>
            </w:r>
          </w:p>
          <w:p w14:paraId="4DE9F67E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14.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14:paraId="23A211AC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15.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dołączenia systemu do usługi katalogowej „on-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premise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” lub w chmurze.</w:t>
            </w:r>
          </w:p>
          <w:p w14:paraId="1B8CBB6B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16.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Umożliwienie zablokowania urządzenia w ramach danego konta tylko do uruchamiania wybranej aplikacji - tryb "kiosk".</w:t>
            </w:r>
          </w:p>
          <w:p w14:paraId="00FEB9BD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17.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47282E2C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18.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Zdalna pomoc i współdzielenie aplikacji – możliwość zdalnego przejęcia sesji zalogowanego użytkownika celem rozwiązania problemu z komputerem.</w:t>
            </w:r>
          </w:p>
          <w:p w14:paraId="6B8035C2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19.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Transakcyjny system plików pozwalający na stosowanie przydziałów (ang.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quota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) na dysku dla użytkowników oraz zapewniający większą niezawodność i pozwalający tworzyć kopie zapasowe.</w:t>
            </w:r>
          </w:p>
          <w:p w14:paraId="309B4EBC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20.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Oprogramowanie dla tworzenia kopii zapasowych (Backup); automatyczne wykonywanie kopii plików z możliwością automatycznego przywrócenia wersji wcześniejszej.</w:t>
            </w:r>
          </w:p>
          <w:p w14:paraId="5128547E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21.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przywracania obrazu plików systemowych do uprzednio zapisanej postaci.</w:t>
            </w:r>
          </w:p>
          <w:p w14:paraId="133E4995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22.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przywracania systemu operacyjnego do stanu początkowego z pozostawieniem plików użytkownika.</w:t>
            </w:r>
          </w:p>
          <w:p w14:paraId="57998A81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23.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blokowania lub dopuszczania dowolnych urządzeń peryferyjnych za pomocą polityk grupowych (np. przy użyciu numerów identyfikacyjnych sprzętu).</w:t>
            </w:r>
          </w:p>
          <w:p w14:paraId="38636B9A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24.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Wbudowany mechanizm wirtualizacji typu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hypervisor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  <w:p w14:paraId="5923CCA2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25.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Wbudowana możliwość zdalnego dostępu do systemu i pracy zdalnej z wykorzystaniem pełnego interfejsu graficznego.</w:t>
            </w:r>
          </w:p>
          <w:p w14:paraId="4D6E4CF3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26.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Dostępność bezpłatnych biuletynów bezpieczeństwa związanych z działaniem systemu operacyjnego.</w:t>
            </w:r>
          </w:p>
          <w:p w14:paraId="1B8AE7E9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27.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Wbudowana zapora internetowa (firewall) dla ochrony połączeń internetowych, zintegrowana z systemem konsola do zarządzania ustawieniami zapory i regułami IP v4 i v6.</w:t>
            </w:r>
          </w:p>
          <w:p w14:paraId="3AEFA31F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28.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1651AF0F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29.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14:paraId="56B5A146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30.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Wbudowany system uwierzytelnienia dwuskładnikowego oparty o certyfikat lub klucz prywatny oraz PIN lub uwierzytelnienie biometryczne.</w:t>
            </w:r>
          </w:p>
          <w:p w14:paraId="10F8D792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31.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Wbudowane mechanizmy ochrony antywirusowej i przeciw złośliwemu oprogramowaniu z zapewnionymi bezpłatnymi aktualizacjami.</w:t>
            </w:r>
          </w:p>
          <w:p w14:paraId="3572A70D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32.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Wbudowany system szyfrowania dysku twardego ze wsparciem modułu TPM</w:t>
            </w:r>
          </w:p>
          <w:p w14:paraId="0A7F5B3E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33.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tworzenia i przechowywania kopii zapasowych kluczy odzyskiwania do szyfrowania dysku w usługach katalogowych.</w:t>
            </w:r>
          </w:p>
          <w:p w14:paraId="52DC11DE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34.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Możliwość tworzenia wirtualnych kart inteligentnych.</w:t>
            </w:r>
          </w:p>
          <w:p w14:paraId="5FA66244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35.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Wsparcie dla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firmware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UEFI i funkcji bezpiecznego rozruchu (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Secure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Boot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</w:p>
          <w:p w14:paraId="0D14A4C5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36.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Wbudowany w system, wykorzystywany automatycznie przez wbudowane przeglądarki filtr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reputacyjny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URL.</w:t>
            </w:r>
          </w:p>
          <w:p w14:paraId="6C01D9C7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37.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Wsparcie dla IPSEC oparte na politykach – wdrażanie IPSEC oparte na zestawach reguł definiujących ustawienia zarządzanych w sposób centralny.</w:t>
            </w:r>
          </w:p>
          <w:p w14:paraId="1E0C9AAF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38.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Mechanizmy logowania w oparciu o:</w:t>
            </w:r>
          </w:p>
          <w:p w14:paraId="6496FAEC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a)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Login i hasło,</w:t>
            </w:r>
          </w:p>
          <w:p w14:paraId="0F25174A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b)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Karty inteligentne i certyfikaty (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smartcard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),</w:t>
            </w:r>
          </w:p>
          <w:p w14:paraId="1CFB2669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c)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Wirtualne karty inteligentne i certyfikaty (logowanie w oparciu o certyfikat chroniony poprzez moduł TPM),</w:t>
            </w:r>
          </w:p>
          <w:p w14:paraId="69FD4A48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d)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Certyfikat/Klucz i PIN</w:t>
            </w:r>
          </w:p>
          <w:p w14:paraId="35179894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e)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Certyfikat/Klucz i uwierzytelnienie biometryczne</w:t>
            </w:r>
          </w:p>
          <w:p w14:paraId="6545393C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39.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Wsparcie dla uwierzytelniania na bazie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Kerberos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v. 5</w:t>
            </w:r>
          </w:p>
          <w:p w14:paraId="2BB199FA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40.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Wbudowany agent do zbierania danych na temat zagrożeń na stacji roboczej.</w:t>
            </w:r>
          </w:p>
          <w:p w14:paraId="576CC3DE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41.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>Wsparcie .NET Framework 2.x, 3.x i 4.x – możliwość uruchomienia aplikacji działających we wskazanych środowiskach</w:t>
            </w:r>
          </w:p>
          <w:p w14:paraId="02A2F065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42.</w:t>
            </w: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ab/>
              <w:t xml:space="preserve">Wsparcie dla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VBScript</w:t>
            </w:r>
            <w:proofErr w:type="spellEnd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– możliwość uruchamiania interpretera poleceń</w:t>
            </w:r>
          </w:p>
          <w:p w14:paraId="3FED16E0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Wsparcie dla PowerShell 5.x – możliwość uruchamiania interpretera poleceń</w:t>
            </w:r>
          </w:p>
        </w:tc>
      </w:tr>
      <w:tr w:rsidR="00F314C4" w:rsidRPr="00F9004D" w14:paraId="389E65CB" w14:textId="77777777" w:rsidTr="00EE6E86">
        <w:tc>
          <w:tcPr>
            <w:tcW w:w="1681" w:type="dxa"/>
            <w:shd w:val="clear" w:color="auto" w:fill="auto"/>
          </w:tcPr>
          <w:p w14:paraId="04E77843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lastRenderedPageBreak/>
              <w:t>Wymagania dodatkowe</w:t>
            </w:r>
          </w:p>
        </w:tc>
        <w:tc>
          <w:tcPr>
            <w:tcW w:w="7528" w:type="dxa"/>
          </w:tcPr>
          <w:p w14:paraId="3EFD47F4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Wbudowane porty i złącza: </w:t>
            </w:r>
          </w:p>
          <w:p w14:paraId="15BE3C87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2x USB 3.2 Gen 1</w:t>
            </w:r>
          </w:p>
          <w:p w14:paraId="3E24B533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2x USB-C 3.2 </w:t>
            </w:r>
          </w:p>
          <w:p w14:paraId="21483B2C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1x HDMI 1.4b</w:t>
            </w:r>
          </w:p>
          <w:p w14:paraId="6B12D20F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1x </w:t>
            </w:r>
            <w:proofErr w:type="spellStart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microSD</w:t>
            </w:r>
            <w:proofErr w:type="spellEnd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card</w:t>
            </w:r>
            <w:proofErr w:type="spellEnd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reader</w:t>
            </w:r>
            <w:proofErr w:type="spellEnd"/>
          </w:p>
          <w:p w14:paraId="4C1189CD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1x Ethernet (RJ-45)</w:t>
            </w:r>
          </w:p>
          <w:p w14:paraId="57E05D28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1x </w:t>
            </w:r>
            <w:proofErr w:type="spellStart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Headphone</w:t>
            </w:r>
            <w:proofErr w:type="spellEnd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 / </w:t>
            </w:r>
            <w:proofErr w:type="spellStart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microphone</w:t>
            </w:r>
            <w:proofErr w:type="spellEnd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combo</w:t>
            </w:r>
            <w:proofErr w:type="spellEnd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jack</w:t>
            </w:r>
            <w:proofErr w:type="spellEnd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 (3.5mm)</w:t>
            </w:r>
          </w:p>
          <w:p w14:paraId="55629FA5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1x Czytnik </w:t>
            </w:r>
            <w:proofErr w:type="spellStart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SmartCard</w:t>
            </w:r>
            <w:proofErr w:type="spellEnd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3936E28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9F5DFFB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Klawiatura z wbudowanym podświetleniem (układ US - QWERTY) z wydzieloną klawiaturą numeryczną. </w:t>
            </w:r>
            <w:proofErr w:type="spellStart"/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T</w:t>
            </w:r>
            <w:r w:rsidRPr="00F9004D">
              <w:rPr>
                <w:rFonts w:asciiTheme="majorHAnsi" w:hAnsiTheme="majorHAnsi" w:cstheme="majorHAnsi"/>
                <w:sz w:val="22"/>
                <w:szCs w:val="22"/>
              </w:rPr>
              <w:t>ouchpad</w:t>
            </w:r>
            <w:proofErr w:type="spellEnd"/>
            <w:r w:rsidRPr="00F9004D">
              <w:rPr>
                <w:rFonts w:asciiTheme="majorHAnsi" w:hAnsiTheme="majorHAnsi" w:cstheme="majorHAnsi"/>
                <w:sz w:val="22"/>
                <w:szCs w:val="22"/>
              </w:rPr>
              <w:t xml:space="preserve"> z obsługą gestów.</w:t>
            </w:r>
          </w:p>
        </w:tc>
      </w:tr>
      <w:tr w:rsidR="00F314C4" w:rsidRPr="00F9004D" w14:paraId="210FB6F9" w14:textId="77777777" w:rsidTr="00EE6E86">
        <w:tc>
          <w:tcPr>
            <w:tcW w:w="1681" w:type="dxa"/>
            <w:shd w:val="clear" w:color="auto" w:fill="auto"/>
          </w:tcPr>
          <w:p w14:paraId="2FB3ECC5" w14:textId="77777777" w:rsidR="00F314C4" w:rsidRPr="00F9004D" w:rsidRDefault="00F314C4" w:rsidP="00EE6E8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Warunki gwarancji</w:t>
            </w:r>
          </w:p>
        </w:tc>
        <w:tc>
          <w:tcPr>
            <w:tcW w:w="7528" w:type="dxa"/>
          </w:tcPr>
          <w:p w14:paraId="248F1B1C" w14:textId="77777777" w:rsidR="00F314C4" w:rsidRPr="00F9004D" w:rsidRDefault="00F314C4" w:rsidP="00EE6E86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9004D">
              <w:rPr>
                <w:rFonts w:asciiTheme="majorHAnsi" w:hAnsiTheme="majorHAnsi" w:cstheme="majorHAnsi"/>
                <w:bCs/>
                <w:sz w:val="22"/>
                <w:szCs w:val="22"/>
              </w:rPr>
              <w:t>3-letnia gwarancja producenta świadczona na miejscu u klienta. Czas reakcji serwisu - do końca następnego dnia roboczego. Dedykowany portal producenta do zgłaszania awarii lub usterek, możliwość samodzielnego zamawiania zamiennych komponentów oraz sprawdzenie okresu gwarancji, fabrycznej konfiguracji.</w:t>
            </w:r>
          </w:p>
        </w:tc>
      </w:tr>
    </w:tbl>
    <w:p w14:paraId="21DA1B76" w14:textId="77777777" w:rsidR="0076416A" w:rsidRPr="00F314C4" w:rsidRDefault="0076416A" w:rsidP="00F314C4">
      <w:bookmarkStart w:id="0" w:name="_GoBack"/>
      <w:bookmarkEnd w:id="0"/>
    </w:p>
    <w:sectPr w:rsidR="0076416A" w:rsidRPr="00F314C4" w:rsidSect="00E72E2C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7A2D" w14:textId="77777777" w:rsidR="00C532E3" w:rsidRDefault="00C532E3" w:rsidP="00E72E2C">
      <w:r>
        <w:separator/>
      </w:r>
    </w:p>
  </w:endnote>
  <w:endnote w:type="continuationSeparator" w:id="0">
    <w:p w14:paraId="0F4B8AC3" w14:textId="77777777" w:rsidR="00C532E3" w:rsidRDefault="00C532E3" w:rsidP="00E7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7656B" w14:textId="77777777" w:rsidR="00987D42" w:rsidRDefault="00987D42" w:rsidP="00C11ECF">
    <w:pPr>
      <w:pStyle w:val="Stopka"/>
    </w:pPr>
    <w:bookmarkStart w:id="1" w:name="DocumentMarkings1FooterEvenPages"/>
  </w:p>
  <w:bookmarkEnd w:id="1"/>
  <w:p w14:paraId="670AB9FF" w14:textId="77777777" w:rsidR="00987D42" w:rsidRDefault="00987D42" w:rsidP="00C11ECF">
    <w:pPr>
      <w:pStyle w:val="Stopka"/>
    </w:pPr>
  </w:p>
  <w:p w14:paraId="218E5CDB" w14:textId="77777777" w:rsidR="00987D42" w:rsidRDefault="00987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B398C" w14:textId="77777777" w:rsidR="00987D42" w:rsidRDefault="00987D42" w:rsidP="00C11ECF">
    <w:pPr>
      <w:pStyle w:val="Stopka"/>
    </w:pPr>
    <w:bookmarkStart w:id="2" w:name="DocumentMarkings1FooterPrimary"/>
  </w:p>
  <w:bookmarkEnd w:id="2"/>
  <w:p w14:paraId="24CBA653" w14:textId="77777777" w:rsidR="00987D42" w:rsidRDefault="00987D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BB9FA" w14:textId="77777777" w:rsidR="00987D42" w:rsidRDefault="00987D42" w:rsidP="00C11ECF">
    <w:pPr>
      <w:pStyle w:val="Stopka"/>
    </w:pPr>
    <w:bookmarkStart w:id="3" w:name="DocumentMarkings1FooterFirstPage"/>
  </w:p>
  <w:bookmarkEnd w:id="3"/>
  <w:p w14:paraId="7A8AA5BA" w14:textId="77777777" w:rsidR="00987D42" w:rsidRDefault="00987D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F29A3" w14:textId="77777777" w:rsidR="00C532E3" w:rsidRDefault="00C532E3" w:rsidP="00E72E2C">
      <w:r>
        <w:separator/>
      </w:r>
    </w:p>
  </w:footnote>
  <w:footnote w:type="continuationSeparator" w:id="0">
    <w:p w14:paraId="334BDC78" w14:textId="77777777" w:rsidR="00C532E3" w:rsidRDefault="00C532E3" w:rsidP="00E72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BD3A6" w14:textId="77777777" w:rsidR="00987D42" w:rsidRDefault="00987D42" w:rsidP="00E72E2C">
    <w:pPr>
      <w:pStyle w:val="Nagwek"/>
    </w:pPr>
  </w:p>
  <w:p w14:paraId="6023718D" w14:textId="77777777" w:rsidR="00987D42" w:rsidRDefault="00987D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C1156"/>
    <w:multiLevelType w:val="hybridMultilevel"/>
    <w:tmpl w:val="8A901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9777A"/>
    <w:multiLevelType w:val="singleLevel"/>
    <w:tmpl w:val="D47A07A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27ECF"/>
    <w:multiLevelType w:val="hybridMultilevel"/>
    <w:tmpl w:val="D32025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43037"/>
    <w:multiLevelType w:val="hybridMultilevel"/>
    <w:tmpl w:val="F73C4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E5394"/>
    <w:multiLevelType w:val="hybridMultilevel"/>
    <w:tmpl w:val="589E1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B5BD3"/>
    <w:multiLevelType w:val="hybridMultilevel"/>
    <w:tmpl w:val="09E87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901278"/>
    <w:multiLevelType w:val="hybridMultilevel"/>
    <w:tmpl w:val="7EFAC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4A371D"/>
    <w:multiLevelType w:val="singleLevel"/>
    <w:tmpl w:val="1022692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0522B"/>
    <w:multiLevelType w:val="hybridMultilevel"/>
    <w:tmpl w:val="0712C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36499"/>
    <w:multiLevelType w:val="hybridMultilevel"/>
    <w:tmpl w:val="027ED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0"/>
  </w:num>
  <w:num w:numId="7">
    <w:abstractNumId w:val="0"/>
  </w:num>
  <w:num w:numId="8">
    <w:abstractNumId w:val="6"/>
  </w:num>
  <w:num w:numId="9">
    <w:abstractNumId w:val="5"/>
  </w:num>
  <w:num w:numId="10">
    <w:abstractNumId w:val="11"/>
  </w:num>
  <w:num w:numId="11">
    <w:abstractNumId w:val="12"/>
  </w:num>
  <w:num w:numId="12">
    <w:abstractNumId w:val="13"/>
  </w:num>
  <w:num w:numId="13">
    <w:abstractNumId w:val="4"/>
  </w:num>
  <w:num w:numId="14">
    <w:abstractNumId w:val="4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363"/>
    <w:rsid w:val="0000048F"/>
    <w:rsid w:val="0000094F"/>
    <w:rsid w:val="000067F6"/>
    <w:rsid w:val="000321D3"/>
    <w:rsid w:val="00045BE3"/>
    <w:rsid w:val="00046E40"/>
    <w:rsid w:val="00053A38"/>
    <w:rsid w:val="00055158"/>
    <w:rsid w:val="000762EA"/>
    <w:rsid w:val="0008487C"/>
    <w:rsid w:val="000915A5"/>
    <w:rsid w:val="000B6D79"/>
    <w:rsid w:val="000C5A9A"/>
    <w:rsid w:val="000F0483"/>
    <w:rsid w:val="000F7020"/>
    <w:rsid w:val="00130118"/>
    <w:rsid w:val="00171C68"/>
    <w:rsid w:val="00176DD2"/>
    <w:rsid w:val="00177A70"/>
    <w:rsid w:val="00187795"/>
    <w:rsid w:val="00191828"/>
    <w:rsid w:val="001B0BD6"/>
    <w:rsid w:val="001B5B11"/>
    <w:rsid w:val="001B735C"/>
    <w:rsid w:val="001C2DC7"/>
    <w:rsid w:val="001D00A2"/>
    <w:rsid w:val="001E3B0D"/>
    <w:rsid w:val="001E6324"/>
    <w:rsid w:val="002237A8"/>
    <w:rsid w:val="00226579"/>
    <w:rsid w:val="00244378"/>
    <w:rsid w:val="00255350"/>
    <w:rsid w:val="00255DF5"/>
    <w:rsid w:val="00277B0F"/>
    <w:rsid w:val="002A4229"/>
    <w:rsid w:val="002A49E1"/>
    <w:rsid w:val="002B5431"/>
    <w:rsid w:val="002B734A"/>
    <w:rsid w:val="002C25DD"/>
    <w:rsid w:val="002D2208"/>
    <w:rsid w:val="002F06DD"/>
    <w:rsid w:val="00301509"/>
    <w:rsid w:val="00365EC7"/>
    <w:rsid w:val="003675E6"/>
    <w:rsid w:val="003964EA"/>
    <w:rsid w:val="003B081C"/>
    <w:rsid w:val="003C2FBB"/>
    <w:rsid w:val="003D1D96"/>
    <w:rsid w:val="0040131F"/>
    <w:rsid w:val="00414E6B"/>
    <w:rsid w:val="00421FE9"/>
    <w:rsid w:val="00423B3B"/>
    <w:rsid w:val="00437257"/>
    <w:rsid w:val="00447B37"/>
    <w:rsid w:val="0045057B"/>
    <w:rsid w:val="00493316"/>
    <w:rsid w:val="004A4CC9"/>
    <w:rsid w:val="004F1C92"/>
    <w:rsid w:val="004F5633"/>
    <w:rsid w:val="0053451A"/>
    <w:rsid w:val="00553C90"/>
    <w:rsid w:val="00556695"/>
    <w:rsid w:val="005702CD"/>
    <w:rsid w:val="005A6FF5"/>
    <w:rsid w:val="005C08C8"/>
    <w:rsid w:val="005D38EC"/>
    <w:rsid w:val="005D6851"/>
    <w:rsid w:val="005D6AF7"/>
    <w:rsid w:val="00632DB1"/>
    <w:rsid w:val="006359EA"/>
    <w:rsid w:val="00650C10"/>
    <w:rsid w:val="00674553"/>
    <w:rsid w:val="006D02C0"/>
    <w:rsid w:val="006D2555"/>
    <w:rsid w:val="006F3E33"/>
    <w:rsid w:val="00742D62"/>
    <w:rsid w:val="0076416A"/>
    <w:rsid w:val="00771DB5"/>
    <w:rsid w:val="00772673"/>
    <w:rsid w:val="00780847"/>
    <w:rsid w:val="00782802"/>
    <w:rsid w:val="00795147"/>
    <w:rsid w:val="007A5330"/>
    <w:rsid w:val="007B762D"/>
    <w:rsid w:val="007C57E1"/>
    <w:rsid w:val="007F0B8F"/>
    <w:rsid w:val="007F5374"/>
    <w:rsid w:val="00800599"/>
    <w:rsid w:val="00811D5D"/>
    <w:rsid w:val="0083125B"/>
    <w:rsid w:val="00851C74"/>
    <w:rsid w:val="00860632"/>
    <w:rsid w:val="008639AE"/>
    <w:rsid w:val="00877EC2"/>
    <w:rsid w:val="008A0985"/>
    <w:rsid w:val="008A128A"/>
    <w:rsid w:val="008C6B70"/>
    <w:rsid w:val="008C7298"/>
    <w:rsid w:val="008E32A5"/>
    <w:rsid w:val="008F3AFC"/>
    <w:rsid w:val="009204C2"/>
    <w:rsid w:val="00960C7A"/>
    <w:rsid w:val="00964CB7"/>
    <w:rsid w:val="00982A9E"/>
    <w:rsid w:val="00987D42"/>
    <w:rsid w:val="009C300A"/>
    <w:rsid w:val="009C7BBE"/>
    <w:rsid w:val="009D2C02"/>
    <w:rsid w:val="009D7A8E"/>
    <w:rsid w:val="00A07B31"/>
    <w:rsid w:val="00A21F17"/>
    <w:rsid w:val="00A343B4"/>
    <w:rsid w:val="00A44BCC"/>
    <w:rsid w:val="00A47163"/>
    <w:rsid w:val="00AA5F27"/>
    <w:rsid w:val="00AA7195"/>
    <w:rsid w:val="00AB02D3"/>
    <w:rsid w:val="00B06125"/>
    <w:rsid w:val="00B22A62"/>
    <w:rsid w:val="00B30744"/>
    <w:rsid w:val="00B4041A"/>
    <w:rsid w:val="00B408B6"/>
    <w:rsid w:val="00B6585C"/>
    <w:rsid w:val="00B77503"/>
    <w:rsid w:val="00B83C6C"/>
    <w:rsid w:val="00BB4FD2"/>
    <w:rsid w:val="00BC5C45"/>
    <w:rsid w:val="00BE7E5D"/>
    <w:rsid w:val="00BF3B9F"/>
    <w:rsid w:val="00C0230E"/>
    <w:rsid w:val="00C02725"/>
    <w:rsid w:val="00C050EE"/>
    <w:rsid w:val="00C11ECF"/>
    <w:rsid w:val="00C15654"/>
    <w:rsid w:val="00C33DD9"/>
    <w:rsid w:val="00C460BC"/>
    <w:rsid w:val="00C532E3"/>
    <w:rsid w:val="00C54B55"/>
    <w:rsid w:val="00C904BF"/>
    <w:rsid w:val="00C94026"/>
    <w:rsid w:val="00CA1741"/>
    <w:rsid w:val="00CD04C9"/>
    <w:rsid w:val="00D12AC2"/>
    <w:rsid w:val="00D166EA"/>
    <w:rsid w:val="00D270FB"/>
    <w:rsid w:val="00D34EA9"/>
    <w:rsid w:val="00D44DEF"/>
    <w:rsid w:val="00D502CD"/>
    <w:rsid w:val="00D60977"/>
    <w:rsid w:val="00D6122B"/>
    <w:rsid w:val="00D619F6"/>
    <w:rsid w:val="00D66F26"/>
    <w:rsid w:val="00D72D42"/>
    <w:rsid w:val="00D777E0"/>
    <w:rsid w:val="00D96C31"/>
    <w:rsid w:val="00DA283C"/>
    <w:rsid w:val="00DB2363"/>
    <w:rsid w:val="00DB2431"/>
    <w:rsid w:val="00DB5A7E"/>
    <w:rsid w:val="00DD5A19"/>
    <w:rsid w:val="00DF4AED"/>
    <w:rsid w:val="00DF4C96"/>
    <w:rsid w:val="00E16F9C"/>
    <w:rsid w:val="00E205F8"/>
    <w:rsid w:val="00E26D83"/>
    <w:rsid w:val="00E6595D"/>
    <w:rsid w:val="00E70FDF"/>
    <w:rsid w:val="00E72E2C"/>
    <w:rsid w:val="00E87072"/>
    <w:rsid w:val="00E90073"/>
    <w:rsid w:val="00EB5B30"/>
    <w:rsid w:val="00EC05C3"/>
    <w:rsid w:val="00EC7A93"/>
    <w:rsid w:val="00EE3E03"/>
    <w:rsid w:val="00F0383E"/>
    <w:rsid w:val="00F137E5"/>
    <w:rsid w:val="00F314C4"/>
    <w:rsid w:val="00F63D3F"/>
    <w:rsid w:val="00F77D60"/>
    <w:rsid w:val="00FA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D38B2"/>
  <w15:chartTrackingRefBased/>
  <w15:docId w15:val="{115DA944-BE9E-46EF-8B4B-4F03EC82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14C4"/>
    <w:pPr>
      <w:spacing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8C6B70"/>
    <w:pPr>
      <w:keepNext/>
      <w:outlineLvl w:val="0"/>
    </w:pPr>
    <w:rPr>
      <w:rFonts w:eastAsia="Times New Roman"/>
      <w:i/>
      <w:sz w:val="26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E2C"/>
    <w:pPr>
      <w:tabs>
        <w:tab w:val="center" w:pos="4680"/>
        <w:tab w:val="right" w:pos="9360"/>
      </w:tabs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E2C"/>
  </w:style>
  <w:style w:type="paragraph" w:styleId="Stopka">
    <w:name w:val="footer"/>
    <w:basedOn w:val="Normalny"/>
    <w:link w:val="StopkaZnak"/>
    <w:uiPriority w:val="99"/>
    <w:unhideWhenUsed/>
    <w:rsid w:val="00E72E2C"/>
    <w:pPr>
      <w:tabs>
        <w:tab w:val="center" w:pos="4680"/>
        <w:tab w:val="right" w:pos="9360"/>
      </w:tabs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E2C"/>
  </w:style>
  <w:style w:type="character" w:customStyle="1" w:styleId="Nagwek1Znak">
    <w:name w:val="Nagłówek 1 Znak"/>
    <w:basedOn w:val="Domylnaczcionkaakapitu"/>
    <w:link w:val="Nagwek1"/>
    <w:rsid w:val="008C6B70"/>
    <w:rPr>
      <w:rFonts w:ascii="Times New Roman" w:eastAsia="Times New Roman" w:hAnsi="Times New Roman" w:cs="Times New Roman"/>
      <w:i/>
      <w:sz w:val="26"/>
      <w:szCs w:val="20"/>
      <w:lang w:val="pl-PL"/>
    </w:rPr>
  </w:style>
  <w:style w:type="character" w:styleId="Hipercze">
    <w:name w:val="Hyperlink"/>
    <w:basedOn w:val="Domylnaczcionkaakapitu"/>
    <w:unhideWhenUsed/>
    <w:rsid w:val="008C6B70"/>
    <w:rPr>
      <w:color w:val="0563C1" w:themeColor="hyperlink"/>
      <w:u w:val="single"/>
    </w:rPr>
  </w:style>
  <w:style w:type="paragraph" w:customStyle="1" w:styleId="WW-Zawartotabeli">
    <w:name w:val="WW-Zawartość tabeli"/>
    <w:basedOn w:val="Normalny"/>
    <w:rsid w:val="008C6B70"/>
    <w:pPr>
      <w:widowControl w:val="0"/>
      <w:suppressLineNumbers/>
      <w:suppressAutoHyphens/>
      <w:spacing w:after="120"/>
    </w:pPr>
    <w:rPr>
      <w:rFonts w:eastAsia="Lucida Sans Unicode"/>
      <w:szCs w:val="20"/>
    </w:rPr>
  </w:style>
  <w:style w:type="paragraph" w:customStyle="1" w:styleId="Default">
    <w:name w:val="Default"/>
    <w:rsid w:val="007641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343B4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28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28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60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60BC"/>
    <w:pPr>
      <w:spacing w:after="160"/>
    </w:pPr>
    <w:rPr>
      <w:rFonts w:asciiTheme="minorHAnsi" w:hAnsiTheme="minorHAnsi" w:cstheme="minorBidi"/>
      <w:sz w:val="20"/>
      <w:szCs w:val="20"/>
      <w:lang w:val="en-US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60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60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0BC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83125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3125B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63D3F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A44BCC"/>
    <w:rPr>
      <w:rFonts w:ascii="Times New Roman" w:hAnsi="Times New Roman" w:cs="Times New Roman" w:hint="default"/>
    </w:rPr>
  </w:style>
  <w:style w:type="table" w:styleId="Tabela-Siatka">
    <w:name w:val="Table Grid"/>
    <w:basedOn w:val="Standardowy"/>
    <w:uiPriority w:val="59"/>
    <w:rsid w:val="00F31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07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mid_range_cpus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625C2-80C7-4275-A694-BD5F4B51D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2168</Words>
  <Characters>13011</Characters>
  <Application>Microsoft Office Word</Application>
  <DocSecurity>0</DocSecurity>
  <Lines>108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 Inc</Company>
  <LinksUpToDate>false</LinksUpToDate>
  <CharactersWithSpaces>15149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>No Restrictions</cp:keywords>
  <dc:description/>
  <cp:lastModifiedBy>Admin</cp:lastModifiedBy>
  <cp:revision>6</cp:revision>
  <dcterms:created xsi:type="dcterms:W3CDTF">2022-06-02T11:25:00Z</dcterms:created>
  <dcterms:modified xsi:type="dcterms:W3CDTF">2022-07-20T07:39:00Z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2dc5557d-cf6a-4b70-bafa-5adb0c7d2f3e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  <property fmtid="{D5CDD505-2E9C-101B-9397-08002B2CF9AE}" pid="7" name="MSIP_Label_7de70ee2-0cb4-4d60-aee5-75ef2c4c8a90_Enabled">
    <vt:lpwstr>True</vt:lpwstr>
  </property>
  <property fmtid="{D5CDD505-2E9C-101B-9397-08002B2CF9AE}" pid="8" name="MSIP_Label_7de70ee2-0cb4-4d60-aee5-75ef2c4c8a90_SiteId">
    <vt:lpwstr>945c199a-83a2-4e80-9f8c-5a91be5752dd</vt:lpwstr>
  </property>
  <property fmtid="{D5CDD505-2E9C-101B-9397-08002B2CF9AE}" pid="9" name="MSIP_Label_7de70ee2-0cb4-4d60-aee5-75ef2c4c8a90_Ref">
    <vt:lpwstr>https://api.informationprotection.azure.com/api/945c199a-83a2-4e80-9f8c-5a91be5752dd</vt:lpwstr>
  </property>
  <property fmtid="{D5CDD505-2E9C-101B-9397-08002B2CF9AE}" pid="10" name="MSIP_Label_7de70ee2-0cb4-4d60-aee5-75ef2c4c8a90_Owner">
    <vt:lpwstr>Maciej_Warachowski@Dell.com</vt:lpwstr>
  </property>
  <property fmtid="{D5CDD505-2E9C-101B-9397-08002B2CF9AE}" pid="11" name="MSIP_Label_7de70ee2-0cb4-4d60-aee5-75ef2c4c8a90_SetDate">
    <vt:lpwstr>2017-11-20T11:38:33.7847873+01:00</vt:lpwstr>
  </property>
  <property fmtid="{D5CDD505-2E9C-101B-9397-08002B2CF9AE}" pid="12" name="MSIP_Label_7de70ee2-0cb4-4d60-aee5-75ef2c4c8a90_Name">
    <vt:lpwstr>Internal Use</vt:lpwstr>
  </property>
  <property fmtid="{D5CDD505-2E9C-101B-9397-08002B2CF9AE}" pid="13" name="MSIP_Label_7de70ee2-0cb4-4d60-aee5-75ef2c4c8a90_Application">
    <vt:lpwstr>Microsoft Azure Information Protection</vt:lpwstr>
  </property>
  <property fmtid="{D5CDD505-2E9C-101B-9397-08002B2CF9AE}" pid="14" name="MSIP_Label_7de70ee2-0cb4-4d60-aee5-75ef2c4c8a90_Extended_MSFT_Method">
    <vt:lpwstr>Manual</vt:lpwstr>
  </property>
  <property fmtid="{D5CDD505-2E9C-101B-9397-08002B2CF9AE}" pid="15" name="MSIP_Label_c6e0e3e8-8921-4906-b77b-3374d4e05132_Enabled">
    <vt:lpwstr>True</vt:lpwstr>
  </property>
  <property fmtid="{D5CDD505-2E9C-101B-9397-08002B2CF9AE}" pid="16" name="MSIP_Label_c6e0e3e8-8921-4906-b77b-3374d4e05132_SiteId">
    <vt:lpwstr>945c199a-83a2-4e80-9f8c-5a91be5752dd</vt:lpwstr>
  </property>
  <property fmtid="{D5CDD505-2E9C-101B-9397-08002B2CF9AE}" pid="17" name="MSIP_Label_c6e0e3e8-8921-4906-b77b-3374d4e05132_Ref">
    <vt:lpwstr>https://api.informationprotection.azure.com/api/945c199a-83a2-4e80-9f8c-5a91be5752dd</vt:lpwstr>
  </property>
  <property fmtid="{D5CDD505-2E9C-101B-9397-08002B2CF9AE}" pid="18" name="MSIP_Label_c6e0e3e8-8921-4906-b77b-3374d4e05132_Owner">
    <vt:lpwstr>Maciej_Warachowski@Dell.com</vt:lpwstr>
  </property>
  <property fmtid="{D5CDD505-2E9C-101B-9397-08002B2CF9AE}" pid="19" name="MSIP_Label_c6e0e3e8-8921-4906-b77b-3374d4e05132_SetDate">
    <vt:lpwstr>2017-11-20T11:38:33.7847873+01:00</vt:lpwstr>
  </property>
  <property fmtid="{D5CDD505-2E9C-101B-9397-08002B2CF9AE}" pid="20" name="MSIP_Label_c6e0e3e8-8921-4906-b77b-3374d4e05132_Name">
    <vt:lpwstr>No Visual Marking</vt:lpwstr>
  </property>
  <property fmtid="{D5CDD505-2E9C-101B-9397-08002B2CF9AE}" pid="21" name="MSIP_Label_c6e0e3e8-8921-4906-b77b-3374d4e05132_Application">
    <vt:lpwstr>Microsoft Azure Information Protection</vt:lpwstr>
  </property>
  <property fmtid="{D5CDD505-2E9C-101B-9397-08002B2CF9AE}" pid="22" name="MSIP_Label_c6e0e3e8-8921-4906-b77b-3374d4e05132_Extended_MSFT_Method">
    <vt:lpwstr>Manual</vt:lpwstr>
  </property>
  <property fmtid="{D5CDD505-2E9C-101B-9397-08002B2CF9AE}" pid="23" name="MSIP_Label_c6e0e3e8-8921-4906-b77b-3374d4e05132_Parent">
    <vt:lpwstr>7de70ee2-0cb4-4d60-aee5-75ef2c4c8a90</vt:lpwstr>
  </property>
  <property fmtid="{D5CDD505-2E9C-101B-9397-08002B2CF9AE}" pid="24" name="Sensitivity">
    <vt:lpwstr>Internal Use No Visual Marking</vt:lpwstr>
  </property>
</Properties>
</file>